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         № 558-т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й в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приложение № 1 к приказу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18 декабря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2023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533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я, которы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приложение № 1 к приказу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18 декабря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2023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533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б установлении обществу с ограниченной ответственностью «Газпром энерго» (Надымский филиал ООО «Газпром энерго») тарифов на питьевую воду и тарифов на горячую воду для расчетов с потребителями поселка городского типа Пангоды муниципального округа Надымски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й район Ямало-Ненецкого автономного округа и долгосрочных параметров регулирования тарифов на 2024 - 2028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850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УТВЕРЖДЕНЫ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558-т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ИЗМЕНЕНИЯ,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ые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ят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ся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приложение № 1 к приказу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департа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автономного окр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18 декабря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2023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533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1. Таблицу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1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  <w:t xml:space="preserve">«Таблица 1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5863"/>
        <w:gridCol w:w="3311"/>
        <w:gridCol w:w="528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434,96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469,80 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469,80 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526,18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507,44 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548,08 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548,08 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570,01 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570,01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586,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5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9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Потребители, имеющие право на льготные тарифы </w:t>
            </w:r>
            <w:hyperlink r:id="rId10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58,81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63,45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63,45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01.07.2025 по 31.12.2025 – 65,42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Население </w:t>
            </w:r>
            <w:hyperlink r:id="rId11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(включая НДС) </w:t>
            </w:r>
            <w:hyperlink r:id="rId12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70,57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76,14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76,14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01.07.2025 по 31.12.2025 – 78,50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firstLine="540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</w:t>
        <w:tab/>
        <w:tab/>
        <w:tab/>
        <w:tab/>
        <w:t xml:space="preserve">            ».</w:t>
        <w:tab/>
        <w:tab/>
        <w:tab/>
        <w:tab/>
        <w:t xml:space="preserve">              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contextualSpacing w:val="0"/>
        <w:ind w:left="0" w:right="0" w:firstLine="709"/>
        <w:jc w:val="left"/>
        <w:spacing w:before="0" w:after="0" w:line="240" w:lineRule="auto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2. Таблицу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2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10065"/>
        <w:jc w:val="right"/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  <w:t xml:space="preserve"> «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Таблица 2</w:t>
      </w:r>
      <w:r>
        <w:rPr>
          <w:rFonts w:ascii="Liberation Sans" w:hAnsi="Liberation Sans" w:cs="Liberation Sans"/>
          <w:color w:val="000000"/>
          <w:sz w:val="28"/>
          <w:szCs w:val="28"/>
        </w:rPr>
      </w:r>
      <w:r/>
    </w:p>
    <w:tbl>
      <w:tblPr>
        <w:tblW w:w="5038" w:type="pct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81"/>
        <w:gridCol w:w="1389"/>
        <w:gridCol w:w="4444"/>
        <w:gridCol w:w="4635"/>
      </w:tblGrid>
      <w:tr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0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981" w:type="dxa"/>
            <w:vAlign w:val="center"/>
            <w:textDirection w:val="lrTb"/>
            <w:noWrap w:val="false"/>
          </w:tcPr>
          <w:p>
            <w:pPr>
              <w:pStyle w:val="86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Потребители</w:t>
            </w:r>
            <w:r>
              <w:rPr>
                <w:rFonts w:ascii="Liberation Sans" w:hAnsi="Liberation Sans" w:eastAsia="Liberation Serif" w:cs="Liberation Sans"/>
                <w:color w:val="000000"/>
                <w:highlight w:val="none"/>
              </w:rPr>
              <w:t xml:space="preserve"> коммунальных ресурсов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89" w:type="dxa"/>
            <w:vAlign w:val="center"/>
            <w:textDirection w:val="lrTb"/>
            <w:noWrap w:val="false"/>
          </w:tcPr>
          <w:p>
            <w:pPr>
              <w:pStyle w:val="86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W w:w="4444" w:type="dxa"/>
            <w:vAlign w:val="center"/>
            <w:textDirection w:val="lrTb"/>
            <w:noWrap w:val="false"/>
          </w:tcPr>
          <w:p>
            <w:pPr>
              <w:pStyle w:val="860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Компонент на тепловую энергию,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руб./Гкал</w:t>
            </w: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W w:w="4635" w:type="dxa"/>
            <w:vAlign w:val="center"/>
            <w:textDirection w:val="lrTb"/>
            <w:noWrap w:val="false"/>
          </w:tcPr>
          <w:p>
            <w:pPr>
              <w:pStyle w:val="860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Компонент на холодную воду,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  <w:t xml:space="preserve">руб./м3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981" w:type="dxa"/>
            <w:vAlign w:val="center"/>
            <w:textDirection w:val="lrTb"/>
            <w:noWrap w:val="false"/>
          </w:tcPr>
          <w:p>
            <w:pPr>
              <w:pStyle w:val="86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89" w:type="dxa"/>
            <w:vAlign w:val="center"/>
            <w:textDirection w:val="lrTb"/>
            <w:noWrap w:val="false"/>
          </w:tcPr>
          <w:p>
            <w:pPr>
              <w:pStyle w:val="86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44" w:type="dxa"/>
            <w:textDirection w:val="lrTb"/>
            <w:noWrap w:val="false"/>
          </w:tcPr>
          <w:p>
            <w:pPr>
              <w:pStyle w:val="86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35" w:type="dxa"/>
            <w:textDirection w:val="lrTb"/>
            <w:noWrap w:val="false"/>
          </w:tcPr>
          <w:p>
            <w:pPr>
              <w:pStyle w:val="86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/>
              </w:rPr>
              <w:t xml:space="preserve">5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cantSplit/>
          <w:trHeight w:val="38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81" w:type="dxa"/>
            <w:vMerge w:val="restart"/>
            <w:textDirection w:val="lrTb"/>
            <w:noWrap w:val="false"/>
          </w:tcPr>
          <w:p>
            <w:pPr>
              <w:pStyle w:val="860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Иные потребители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9" w:type="dxa"/>
            <w:vAlign w:val="center"/>
            <w:textDirection w:val="lrTb"/>
            <w:noWrap w:val="false"/>
          </w:tcPr>
          <w:p>
            <w:pPr>
              <w:pStyle w:val="86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44" w:type="dxa"/>
            <w:vAlign w:val="center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4464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5102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3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434,96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469,80 </w:t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81" w:type="dxa"/>
            <w:vMerge w:val="continue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9" w:type="dxa"/>
            <w:vAlign w:val="center"/>
            <w:textDirection w:val="lrTb"/>
            <w:noWrap w:val="false"/>
          </w:tcPr>
          <w:p>
            <w:pPr>
              <w:pStyle w:val="86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44" w:type="dxa"/>
            <w:vAlign w:val="center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5102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6111</w:t>
            </w:r>
            <w:r/>
          </w:p>
        </w:tc>
        <w:tc>
          <w:tcPr>
            <w:tcBorders>
              <w:bottom w:val="single" w:color="000000" w:sz="4" w:space="0"/>
            </w:tcBorders>
            <w:tcW w:w="463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469,80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526,18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81" w:type="dxa"/>
            <w:vMerge w:val="continue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9" w:type="dxa"/>
            <w:vAlign w:val="center"/>
            <w:textDirection w:val="lrTb"/>
            <w:noWrap w:val="false"/>
          </w:tcPr>
          <w:p>
            <w:pPr>
              <w:pStyle w:val="86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44" w:type="dxa"/>
            <w:vAlign w:val="center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5830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6662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3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507,44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548,08 </w:t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9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</w:rPr>
              <w:t xml:space="preserve">2027</w:t>
            </w:r>
            <w:r>
              <w:rPr>
                <w:rFonts w:ascii="Liberation Sans" w:hAnsi="Liberation Sans" w:cs="Liberation Sans"/>
                <w:szCs w:val="23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4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6662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7613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548,08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570,01 </w:t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9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</w:rPr>
              <w:t xml:space="preserve">2028</w:t>
            </w:r>
            <w:r>
              <w:rPr>
                <w:rFonts w:ascii="Liberation Sans" w:hAnsi="Liberation Sans" w:cs="Liberation Sans"/>
                <w:szCs w:val="23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4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7613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8699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570,01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586,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5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9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81" w:type="dxa"/>
            <w:vMerge w:val="restart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Потребители, имеющие право на льготные тарифы &lt;*&gt; 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9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4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1473,58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1591,47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58,81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63,45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9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4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1591,47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1734,70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63,45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65,42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9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4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9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</w:rPr>
              <w:t xml:space="preserve">2027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4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9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</w:rPr>
              <w:t xml:space="preserve">2028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4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81" w:type="dxa"/>
            <w:vMerge w:val="restart"/>
            <w:textDirection w:val="lrTb"/>
            <w:noWrap w:val="false"/>
          </w:tcPr>
          <w:p>
            <w:pPr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Население &lt;**&gt;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 (включая НДС) &lt;***&gt;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9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4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1768,30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1909,76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70,57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76,14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9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4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1909,76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2081,64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76,14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78,50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>
          <w:trHeight w:val="49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9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4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9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</w:rPr>
              <w:t xml:space="preserve">2027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4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9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</w:rPr>
              <w:t xml:space="preserve">2028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4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6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</w:tbl>
    <w:p>
      <w:pPr>
        <w:ind w:left="0" w:right="0" w:firstLine="567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6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r>
      <w:r/>
    </w:p>
    <w:p>
      <w:pPr>
        <w:ind w:left="0" w:right="0" w:firstLine="567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7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left="0" w:right="0" w:firstLine="567"/>
        <w:jc w:val="both"/>
        <w:rPr>
          <w:rFonts w:ascii="Liberation Sans" w:hAnsi="Liberation Sans" w:eastAsia="Liberation Serif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8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</w:t>
        <w:tab/>
        <w:t xml:space="preserve">                                    </w:t>
      </w:r>
      <w:r>
        <w:rPr>
          <w:sz w:val="20"/>
          <w:szCs w:val="20"/>
        </w:rPr>
      </w:r>
      <w:r/>
    </w:p>
    <w:p>
      <w:pPr>
        <w:ind w:left="0" w:right="0" w:firstLine="567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eastAsia="Liberation Serif" w:cs="Liberation Sans"/>
          <w:color w:val="000000" w:themeColor="text1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 водоснабжения.</w:t>
      </w:r>
      <w:r>
        <w:rPr>
          <w:rFonts w:ascii="Liberation Sans" w:hAnsi="Liberation Sans" w:eastAsia="Liberation Serif" w:cs="Liberation Sans"/>
          <w:color w:val="000000" w:themeColor="text1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».</w:t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  <w:style w:type="paragraph" w:styleId="860" w:customStyle="1">
    <w:name w:val="Обычный1"/>
    <w:link w:val="82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0AE12744AACC646BD4A127E9A00FA26F3F5D77ABA9B9249DE8065AAD0E7560D85AC42817DBE367E208644GEEAF" TargetMode="External"/><Relationship Id="rId11" Type="http://schemas.openxmlformats.org/officeDocument/2006/relationships/hyperlink" Target="consultantplus://offline/ref=E2D39A4F09B56413B3EC0001D0709032262D2B4CB0535EAD3A2383E493BF8F76C45AD369E8E1994C547488p5EDF" TargetMode="External"/><Relationship Id="rId12" Type="http://schemas.openxmlformats.org/officeDocument/2006/relationships/hyperlink" Target="consultantplus://offline/ref=E2D39A4F09B56413B3EC0001D0709032262D2B4CB0535EAD3A2383E493BF8F76C45AD369E8E1994C547488p5EC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Relationship Id="rId16" Type="http://schemas.openxmlformats.org/officeDocument/2006/relationships/hyperlink" Target="consultantplus://offline/ref=BC4FDCB53AB2EC8B14B6B3AE8120CF99E618AD28C81A94C69A1C057EC095CEE9BB73B2CF9B88F0D7DA4765HEQ0F" TargetMode="External"/><Relationship Id="rId17" Type="http://schemas.openxmlformats.org/officeDocument/2006/relationships/hyperlink" Target="consultantplus://offline/ref=BC4FDCB53AB2EC8B14B6B3AE8120CF99E618AD28C81A94C69A1C057EC095CEE9BB73B2CF9B88F0D7DA4765HEQFF" TargetMode="External"/><Relationship Id="rId18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33</cp:revision>
  <dcterms:modified xsi:type="dcterms:W3CDTF">2024-12-19T05:53:34Z</dcterms:modified>
</cp:coreProperties>
</file>